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996" w:rsidRDefault="00B0700D" w:rsidP="00B0700D">
      <w:pPr>
        <w:spacing w:after="0" w:line="240" w:lineRule="auto"/>
        <w:jc w:val="center"/>
        <w:rPr>
          <w:b/>
          <w:sz w:val="28"/>
          <w:szCs w:val="28"/>
        </w:rPr>
      </w:pPr>
      <w:r>
        <w:rPr>
          <w:b/>
          <w:sz w:val="28"/>
          <w:szCs w:val="28"/>
        </w:rPr>
        <w:t>Minutes of BZA Case #297</w:t>
      </w:r>
    </w:p>
    <w:p w:rsidR="00B0700D" w:rsidRDefault="00B0700D" w:rsidP="00B0700D">
      <w:pPr>
        <w:spacing w:after="0" w:line="240" w:lineRule="auto"/>
        <w:jc w:val="center"/>
        <w:rPr>
          <w:b/>
          <w:sz w:val="28"/>
          <w:szCs w:val="28"/>
        </w:rPr>
      </w:pPr>
      <w:r>
        <w:rPr>
          <w:b/>
          <w:sz w:val="28"/>
          <w:szCs w:val="28"/>
        </w:rPr>
        <w:t xml:space="preserve">Allen J. </w:t>
      </w:r>
      <w:proofErr w:type="spellStart"/>
      <w:r>
        <w:rPr>
          <w:b/>
          <w:sz w:val="28"/>
          <w:szCs w:val="28"/>
        </w:rPr>
        <w:t>Aerni</w:t>
      </w:r>
      <w:proofErr w:type="spellEnd"/>
    </w:p>
    <w:p w:rsidR="00B0700D" w:rsidRDefault="00B0700D" w:rsidP="00B0700D">
      <w:pPr>
        <w:spacing w:after="0" w:line="240" w:lineRule="auto"/>
        <w:jc w:val="center"/>
        <w:rPr>
          <w:b/>
          <w:sz w:val="28"/>
          <w:szCs w:val="28"/>
        </w:rPr>
      </w:pPr>
      <w:r>
        <w:rPr>
          <w:b/>
          <w:sz w:val="28"/>
          <w:szCs w:val="28"/>
        </w:rPr>
        <w:t>5206 Crystal View C</w:t>
      </w:r>
      <w:r w:rsidR="00720344">
        <w:rPr>
          <w:b/>
          <w:sz w:val="28"/>
          <w:szCs w:val="28"/>
        </w:rPr>
        <w:t>t</w:t>
      </w:r>
      <w:r>
        <w:rPr>
          <w:b/>
          <w:sz w:val="28"/>
          <w:szCs w:val="28"/>
        </w:rPr>
        <w:t>.</w:t>
      </w:r>
    </w:p>
    <w:p w:rsidR="00B0700D" w:rsidRDefault="00720344" w:rsidP="00B0700D">
      <w:pPr>
        <w:spacing w:after="0" w:line="240" w:lineRule="auto"/>
        <w:jc w:val="center"/>
        <w:rPr>
          <w:b/>
          <w:sz w:val="28"/>
          <w:szCs w:val="28"/>
        </w:rPr>
      </w:pPr>
      <w:r>
        <w:rPr>
          <w:b/>
          <w:sz w:val="28"/>
          <w:szCs w:val="28"/>
        </w:rPr>
        <w:t>Loveland, OH  45140</w:t>
      </w:r>
    </w:p>
    <w:p w:rsidR="00B0700D" w:rsidRDefault="00B0700D" w:rsidP="00B0700D">
      <w:pPr>
        <w:jc w:val="center"/>
        <w:rPr>
          <w:b/>
          <w:sz w:val="28"/>
          <w:szCs w:val="28"/>
        </w:rPr>
      </w:pPr>
    </w:p>
    <w:p w:rsidR="00B0700D" w:rsidRDefault="00B0700D" w:rsidP="00B0700D">
      <w:pPr>
        <w:jc w:val="center"/>
        <w:rPr>
          <w:b/>
          <w:sz w:val="28"/>
          <w:szCs w:val="28"/>
        </w:rPr>
      </w:pPr>
      <w:r>
        <w:rPr>
          <w:b/>
          <w:sz w:val="28"/>
          <w:szCs w:val="28"/>
        </w:rPr>
        <w:t>June 1, 2009</w:t>
      </w:r>
    </w:p>
    <w:p w:rsidR="00B0700D" w:rsidRDefault="00B0700D" w:rsidP="00B0700D">
      <w:pPr>
        <w:jc w:val="center"/>
        <w:rPr>
          <w:b/>
          <w:sz w:val="28"/>
          <w:szCs w:val="28"/>
        </w:rPr>
      </w:pPr>
      <w:r>
        <w:rPr>
          <w:b/>
          <w:sz w:val="28"/>
          <w:szCs w:val="28"/>
        </w:rPr>
        <w:t>6:30 P.M.</w:t>
      </w:r>
    </w:p>
    <w:p w:rsidR="00B0700D" w:rsidRDefault="00B0700D" w:rsidP="00B0700D">
      <w:pPr>
        <w:tabs>
          <w:tab w:val="left" w:pos="1440"/>
        </w:tabs>
        <w:ind w:left="1440" w:hanging="1440"/>
        <w:rPr>
          <w:sz w:val="28"/>
          <w:szCs w:val="28"/>
        </w:rPr>
      </w:pPr>
      <w:r w:rsidRPr="00B0700D">
        <w:rPr>
          <w:b/>
          <w:sz w:val="28"/>
          <w:szCs w:val="28"/>
        </w:rPr>
        <w:t>Present</w:t>
      </w:r>
      <w:r>
        <w:rPr>
          <w:sz w:val="28"/>
          <w:szCs w:val="28"/>
        </w:rPr>
        <w:t xml:space="preserve"> </w:t>
      </w:r>
      <w:r>
        <w:rPr>
          <w:sz w:val="28"/>
          <w:szCs w:val="28"/>
        </w:rPr>
        <w:tab/>
        <w:t xml:space="preserve">Members:   Mary Donna Elam, Ed </w:t>
      </w:r>
      <w:proofErr w:type="spellStart"/>
      <w:r>
        <w:rPr>
          <w:sz w:val="28"/>
          <w:szCs w:val="28"/>
        </w:rPr>
        <w:t>Seigla</w:t>
      </w:r>
      <w:proofErr w:type="spellEnd"/>
      <w:r>
        <w:rPr>
          <w:sz w:val="28"/>
          <w:szCs w:val="28"/>
        </w:rPr>
        <w:t xml:space="preserve">, Shirley </w:t>
      </w:r>
      <w:proofErr w:type="spellStart"/>
      <w:r>
        <w:rPr>
          <w:sz w:val="28"/>
          <w:szCs w:val="28"/>
        </w:rPr>
        <w:t>Bixler</w:t>
      </w:r>
      <w:proofErr w:type="spellEnd"/>
      <w:r>
        <w:rPr>
          <w:sz w:val="28"/>
          <w:szCs w:val="28"/>
        </w:rPr>
        <w:t>, Jessie Shaw,           Wanda Downey</w:t>
      </w:r>
    </w:p>
    <w:p w:rsidR="00B0700D" w:rsidRDefault="00B0700D" w:rsidP="00B0700D">
      <w:pPr>
        <w:tabs>
          <w:tab w:val="left" w:pos="1440"/>
        </w:tabs>
        <w:ind w:left="1440" w:hanging="1440"/>
        <w:rPr>
          <w:sz w:val="28"/>
          <w:szCs w:val="28"/>
        </w:rPr>
      </w:pPr>
    </w:p>
    <w:p w:rsidR="00B0700D" w:rsidRDefault="00B0700D" w:rsidP="00B0700D">
      <w:pPr>
        <w:tabs>
          <w:tab w:val="left" w:pos="1440"/>
        </w:tabs>
        <w:ind w:left="1440" w:hanging="1440"/>
        <w:rPr>
          <w:sz w:val="28"/>
          <w:szCs w:val="28"/>
        </w:rPr>
      </w:pPr>
      <w:r w:rsidRPr="00B0700D">
        <w:rPr>
          <w:b/>
          <w:sz w:val="28"/>
          <w:szCs w:val="28"/>
        </w:rPr>
        <w:t>In Attendance</w:t>
      </w:r>
      <w:r>
        <w:rPr>
          <w:sz w:val="28"/>
          <w:szCs w:val="28"/>
        </w:rPr>
        <w:t xml:space="preserve">   John Downey, John McClain, Bob </w:t>
      </w:r>
      <w:proofErr w:type="spellStart"/>
      <w:r>
        <w:rPr>
          <w:sz w:val="28"/>
          <w:szCs w:val="28"/>
        </w:rPr>
        <w:t>Seyfried</w:t>
      </w:r>
      <w:proofErr w:type="spellEnd"/>
    </w:p>
    <w:p w:rsidR="00B0700D" w:rsidRDefault="00B0700D" w:rsidP="00B0700D">
      <w:pPr>
        <w:tabs>
          <w:tab w:val="left" w:pos="1440"/>
        </w:tabs>
        <w:ind w:left="1440" w:hanging="1440"/>
        <w:rPr>
          <w:sz w:val="28"/>
          <w:szCs w:val="28"/>
        </w:rPr>
      </w:pPr>
    </w:p>
    <w:p w:rsidR="00B0700D" w:rsidRPr="00B0700D" w:rsidRDefault="00B0700D" w:rsidP="00B0700D">
      <w:pPr>
        <w:tabs>
          <w:tab w:val="left" w:pos="1440"/>
        </w:tabs>
        <w:ind w:left="1440" w:hanging="1440"/>
        <w:rPr>
          <w:b/>
          <w:sz w:val="28"/>
          <w:szCs w:val="28"/>
        </w:rPr>
      </w:pPr>
      <w:r w:rsidRPr="00B0700D">
        <w:rPr>
          <w:b/>
          <w:sz w:val="28"/>
          <w:szCs w:val="28"/>
        </w:rPr>
        <w:t>Meeting opened at 6:30 P. M.</w:t>
      </w:r>
    </w:p>
    <w:p w:rsidR="00B0700D" w:rsidRPr="00B0700D" w:rsidRDefault="00B0700D" w:rsidP="00B0700D">
      <w:pPr>
        <w:tabs>
          <w:tab w:val="left" w:pos="1440"/>
        </w:tabs>
        <w:ind w:left="1440" w:hanging="1440"/>
        <w:rPr>
          <w:b/>
          <w:sz w:val="28"/>
          <w:szCs w:val="28"/>
        </w:rPr>
      </w:pPr>
      <w:r w:rsidRPr="00B0700D">
        <w:rPr>
          <w:b/>
          <w:sz w:val="28"/>
          <w:szCs w:val="28"/>
        </w:rPr>
        <w:t>The Pledge of Allegiance was recited</w:t>
      </w:r>
    </w:p>
    <w:p w:rsidR="00B0700D" w:rsidRDefault="00B0700D" w:rsidP="00B0700D">
      <w:pPr>
        <w:tabs>
          <w:tab w:val="left" w:pos="1440"/>
        </w:tabs>
        <w:ind w:left="1440" w:hanging="1440"/>
        <w:rPr>
          <w:b/>
          <w:sz w:val="28"/>
          <w:szCs w:val="28"/>
        </w:rPr>
      </w:pPr>
      <w:r w:rsidRPr="00B0700D">
        <w:rPr>
          <w:b/>
          <w:sz w:val="28"/>
          <w:szCs w:val="28"/>
        </w:rPr>
        <w:t>Those present in audience were sworn in</w:t>
      </w:r>
    </w:p>
    <w:p w:rsidR="00B0700D" w:rsidRDefault="00B0700D" w:rsidP="00B0700D">
      <w:pPr>
        <w:tabs>
          <w:tab w:val="left" w:pos="1440"/>
        </w:tabs>
        <w:ind w:left="1440" w:hanging="1440"/>
        <w:rPr>
          <w:sz w:val="28"/>
          <w:szCs w:val="28"/>
        </w:rPr>
      </w:pPr>
      <w:r>
        <w:rPr>
          <w:b/>
          <w:sz w:val="28"/>
          <w:szCs w:val="28"/>
        </w:rPr>
        <w:t xml:space="preserve">Request:   </w:t>
      </w:r>
      <w:r>
        <w:rPr>
          <w:sz w:val="28"/>
          <w:szCs w:val="28"/>
        </w:rPr>
        <w:t xml:space="preserve">2.7 ft variance leaving a 7.3 ft set back from property to the right of Mr. </w:t>
      </w:r>
      <w:proofErr w:type="spellStart"/>
      <w:r>
        <w:rPr>
          <w:sz w:val="28"/>
          <w:szCs w:val="28"/>
        </w:rPr>
        <w:t>Aerni’s</w:t>
      </w:r>
      <w:proofErr w:type="spellEnd"/>
      <w:r>
        <w:rPr>
          <w:sz w:val="28"/>
          <w:szCs w:val="28"/>
        </w:rPr>
        <w:t xml:space="preserve"> property……Mr. </w:t>
      </w:r>
      <w:proofErr w:type="spellStart"/>
      <w:r>
        <w:rPr>
          <w:sz w:val="28"/>
          <w:szCs w:val="28"/>
        </w:rPr>
        <w:t>Aerni</w:t>
      </w:r>
      <w:proofErr w:type="spellEnd"/>
      <w:r>
        <w:rPr>
          <w:sz w:val="28"/>
          <w:szCs w:val="28"/>
        </w:rPr>
        <w:t xml:space="preserve"> wishes to add an additional garage to his present home.</w:t>
      </w:r>
    </w:p>
    <w:p w:rsidR="00B0700D" w:rsidRDefault="00B0700D" w:rsidP="00B0700D">
      <w:pPr>
        <w:tabs>
          <w:tab w:val="left" w:pos="1440"/>
        </w:tabs>
        <w:rPr>
          <w:sz w:val="28"/>
          <w:szCs w:val="28"/>
        </w:rPr>
      </w:pPr>
      <w:r w:rsidRPr="00B0700D">
        <w:rPr>
          <w:sz w:val="28"/>
          <w:szCs w:val="28"/>
        </w:rPr>
        <w:t xml:space="preserve">John McClain, Mr. </w:t>
      </w:r>
      <w:proofErr w:type="spellStart"/>
      <w:r w:rsidRPr="00B0700D">
        <w:rPr>
          <w:sz w:val="28"/>
          <w:szCs w:val="28"/>
        </w:rPr>
        <w:t>Aerni’s</w:t>
      </w:r>
      <w:proofErr w:type="spellEnd"/>
      <w:r w:rsidRPr="00B0700D">
        <w:rPr>
          <w:sz w:val="28"/>
          <w:szCs w:val="28"/>
        </w:rPr>
        <w:t xml:space="preserve"> neighbor to his right said he did not have any objections to the variance being granted.  He further stated he was sure the Home Owners Association would be happy to see the many items in Mr. </w:t>
      </w:r>
      <w:proofErr w:type="spellStart"/>
      <w:r w:rsidRPr="00B0700D">
        <w:rPr>
          <w:sz w:val="28"/>
          <w:szCs w:val="28"/>
        </w:rPr>
        <w:t>Aerni’s</w:t>
      </w:r>
      <w:proofErr w:type="spellEnd"/>
      <w:r w:rsidRPr="00B0700D">
        <w:rPr>
          <w:sz w:val="28"/>
          <w:szCs w:val="28"/>
        </w:rPr>
        <w:t xml:space="preserve"> yard stored in a garage</w:t>
      </w:r>
      <w:r>
        <w:rPr>
          <w:sz w:val="28"/>
          <w:szCs w:val="28"/>
        </w:rPr>
        <w:t>.</w:t>
      </w:r>
    </w:p>
    <w:p w:rsidR="00B0700D" w:rsidRDefault="00B0700D" w:rsidP="00B0700D">
      <w:pPr>
        <w:tabs>
          <w:tab w:val="left" w:pos="1440"/>
        </w:tabs>
        <w:rPr>
          <w:sz w:val="28"/>
          <w:szCs w:val="28"/>
        </w:rPr>
      </w:pPr>
      <w:proofErr w:type="gramStart"/>
      <w:r>
        <w:rPr>
          <w:sz w:val="28"/>
          <w:szCs w:val="28"/>
        </w:rPr>
        <w:t>Documents from the Timber Ridge Home Owners Association approving the request was</w:t>
      </w:r>
      <w:proofErr w:type="gramEnd"/>
      <w:r>
        <w:rPr>
          <w:sz w:val="28"/>
          <w:szCs w:val="28"/>
        </w:rPr>
        <w:t xml:space="preserve"> introduced and a letter from Nancy M. Hicks was presented stating her concerns about unfinished projects.  The letter was not notarized.</w:t>
      </w:r>
    </w:p>
    <w:p w:rsidR="00B0700D" w:rsidRDefault="00B0700D" w:rsidP="00B0700D">
      <w:pPr>
        <w:tabs>
          <w:tab w:val="left" w:pos="1440"/>
        </w:tabs>
        <w:rPr>
          <w:sz w:val="28"/>
          <w:szCs w:val="28"/>
        </w:rPr>
      </w:pPr>
    </w:p>
    <w:p w:rsidR="00B0700D" w:rsidRDefault="00B0700D" w:rsidP="00B0700D">
      <w:pPr>
        <w:tabs>
          <w:tab w:val="left" w:pos="1440"/>
        </w:tabs>
        <w:rPr>
          <w:sz w:val="28"/>
          <w:szCs w:val="28"/>
        </w:rPr>
      </w:pPr>
      <w:r>
        <w:rPr>
          <w:sz w:val="28"/>
          <w:szCs w:val="28"/>
        </w:rPr>
        <w:lastRenderedPageBreak/>
        <w:t>Finding of Facts for Variances were completed as follows:</w:t>
      </w:r>
    </w:p>
    <w:p w:rsidR="00B0700D" w:rsidRDefault="00B0700D" w:rsidP="00B0700D">
      <w:pPr>
        <w:pStyle w:val="ListParagraph"/>
        <w:numPr>
          <w:ilvl w:val="0"/>
          <w:numId w:val="1"/>
        </w:numPr>
        <w:tabs>
          <w:tab w:val="left" w:pos="1440"/>
        </w:tabs>
        <w:rPr>
          <w:sz w:val="28"/>
          <w:szCs w:val="28"/>
        </w:rPr>
      </w:pPr>
      <w:r>
        <w:rPr>
          <w:sz w:val="28"/>
          <w:szCs w:val="28"/>
        </w:rPr>
        <w:t xml:space="preserve"> Whether the property will yield a reasonable return or whether there can be a beneficial use of the property without the variance.  YES</w:t>
      </w:r>
    </w:p>
    <w:p w:rsidR="00B0700D" w:rsidRDefault="00B0700D" w:rsidP="00B0700D">
      <w:pPr>
        <w:pStyle w:val="ListParagraph"/>
        <w:numPr>
          <w:ilvl w:val="0"/>
          <w:numId w:val="1"/>
        </w:numPr>
        <w:tabs>
          <w:tab w:val="left" w:pos="1440"/>
        </w:tabs>
        <w:rPr>
          <w:sz w:val="28"/>
          <w:szCs w:val="28"/>
        </w:rPr>
      </w:pPr>
      <w:r>
        <w:rPr>
          <w:sz w:val="28"/>
          <w:szCs w:val="28"/>
        </w:rPr>
        <w:t>Whether the variance is substantial.  YES</w:t>
      </w:r>
    </w:p>
    <w:p w:rsidR="00B0700D" w:rsidRDefault="00B0700D" w:rsidP="00B0700D">
      <w:pPr>
        <w:pStyle w:val="ListParagraph"/>
        <w:numPr>
          <w:ilvl w:val="0"/>
          <w:numId w:val="1"/>
        </w:numPr>
        <w:tabs>
          <w:tab w:val="left" w:pos="1440"/>
        </w:tabs>
        <w:rPr>
          <w:sz w:val="28"/>
          <w:szCs w:val="28"/>
        </w:rPr>
      </w:pPr>
      <w:r>
        <w:rPr>
          <w:sz w:val="28"/>
          <w:szCs w:val="28"/>
        </w:rPr>
        <w:t>Whether the essential character of the neighborhood would be substantially altered or adjoining properties suffer a “substantial detriment”.  NO</w:t>
      </w:r>
    </w:p>
    <w:p w:rsidR="00B0700D" w:rsidRDefault="00B0700D" w:rsidP="00B0700D">
      <w:pPr>
        <w:pStyle w:val="ListParagraph"/>
        <w:numPr>
          <w:ilvl w:val="0"/>
          <w:numId w:val="1"/>
        </w:numPr>
        <w:tabs>
          <w:tab w:val="left" w:pos="1440"/>
        </w:tabs>
        <w:rPr>
          <w:sz w:val="28"/>
          <w:szCs w:val="28"/>
        </w:rPr>
      </w:pPr>
      <w:r>
        <w:rPr>
          <w:sz w:val="28"/>
          <w:szCs w:val="28"/>
        </w:rPr>
        <w:t>Whether the variance would adversely affect the delivery of governmental services.  NO</w:t>
      </w:r>
    </w:p>
    <w:p w:rsidR="00B0700D" w:rsidRDefault="00B0700D" w:rsidP="00B0700D">
      <w:pPr>
        <w:pStyle w:val="ListParagraph"/>
        <w:numPr>
          <w:ilvl w:val="0"/>
          <w:numId w:val="1"/>
        </w:numPr>
        <w:tabs>
          <w:tab w:val="left" w:pos="1440"/>
        </w:tabs>
        <w:rPr>
          <w:sz w:val="28"/>
          <w:szCs w:val="28"/>
        </w:rPr>
      </w:pPr>
      <w:r>
        <w:rPr>
          <w:sz w:val="28"/>
          <w:szCs w:val="28"/>
        </w:rPr>
        <w:t>Whether the property owner purchased the property with the knowledge of the zoning restriction.  NO</w:t>
      </w:r>
    </w:p>
    <w:p w:rsidR="00B0700D" w:rsidRDefault="00B0700D" w:rsidP="00B0700D">
      <w:pPr>
        <w:pStyle w:val="ListParagraph"/>
        <w:numPr>
          <w:ilvl w:val="0"/>
          <w:numId w:val="1"/>
        </w:numPr>
        <w:tabs>
          <w:tab w:val="left" w:pos="1440"/>
        </w:tabs>
        <w:rPr>
          <w:sz w:val="28"/>
          <w:szCs w:val="28"/>
        </w:rPr>
      </w:pPr>
      <w:r>
        <w:rPr>
          <w:sz w:val="28"/>
          <w:szCs w:val="28"/>
        </w:rPr>
        <w:t>Whether the problem can be solved by some manner other than the granting of a variance.  NO</w:t>
      </w:r>
    </w:p>
    <w:p w:rsidR="00B0700D" w:rsidRDefault="00B0700D" w:rsidP="00B0700D">
      <w:pPr>
        <w:pStyle w:val="ListParagraph"/>
        <w:numPr>
          <w:ilvl w:val="0"/>
          <w:numId w:val="1"/>
        </w:numPr>
        <w:tabs>
          <w:tab w:val="left" w:pos="1440"/>
        </w:tabs>
        <w:rPr>
          <w:sz w:val="28"/>
          <w:szCs w:val="28"/>
        </w:rPr>
      </w:pPr>
      <w:r>
        <w:rPr>
          <w:sz w:val="28"/>
          <w:szCs w:val="28"/>
        </w:rPr>
        <w:t>Whether the variance preserves the “spirit and intent” of the zoning requirement and whether “substantial justice” would be done by granting the variance.  YES</w:t>
      </w:r>
    </w:p>
    <w:p w:rsidR="00720344" w:rsidRDefault="00720344" w:rsidP="00720344">
      <w:pPr>
        <w:tabs>
          <w:tab w:val="left" w:pos="1440"/>
        </w:tabs>
        <w:rPr>
          <w:sz w:val="28"/>
          <w:szCs w:val="28"/>
        </w:rPr>
      </w:pPr>
      <w:r>
        <w:rPr>
          <w:sz w:val="28"/>
          <w:szCs w:val="28"/>
        </w:rPr>
        <w:t>Finding of facts for variances resulted in a positive view point for the variance.</w:t>
      </w:r>
    </w:p>
    <w:p w:rsidR="00720344" w:rsidRDefault="00720344" w:rsidP="00720344">
      <w:pPr>
        <w:tabs>
          <w:tab w:val="left" w:pos="1440"/>
        </w:tabs>
        <w:rPr>
          <w:sz w:val="28"/>
          <w:szCs w:val="28"/>
        </w:rPr>
      </w:pPr>
      <w:r>
        <w:rPr>
          <w:sz w:val="28"/>
          <w:szCs w:val="28"/>
        </w:rPr>
        <w:t xml:space="preserve">Having so found Wanda Downey made the motion to approve the requested variance because of the shape of Mr. </w:t>
      </w:r>
      <w:proofErr w:type="spellStart"/>
      <w:r>
        <w:rPr>
          <w:sz w:val="28"/>
          <w:szCs w:val="28"/>
        </w:rPr>
        <w:t>Aerni’s</w:t>
      </w:r>
      <w:proofErr w:type="spellEnd"/>
      <w:r>
        <w:rPr>
          <w:sz w:val="28"/>
          <w:szCs w:val="28"/>
        </w:rPr>
        <w:t xml:space="preserve"> property and the finding of facts results.  With the stipulation that the construction and clean up must be completed by December 1, 2009.  Motion was seconded by Jessie Shaw.</w:t>
      </w:r>
    </w:p>
    <w:p w:rsidR="00720344" w:rsidRDefault="00720344" w:rsidP="00720344">
      <w:pPr>
        <w:tabs>
          <w:tab w:val="left" w:pos="1440"/>
        </w:tabs>
        <w:rPr>
          <w:sz w:val="28"/>
          <w:szCs w:val="28"/>
        </w:rPr>
      </w:pPr>
      <w:r>
        <w:rPr>
          <w:sz w:val="28"/>
          <w:szCs w:val="28"/>
        </w:rPr>
        <w:t xml:space="preserve">Ed </w:t>
      </w:r>
      <w:proofErr w:type="spellStart"/>
      <w:proofErr w:type="gramStart"/>
      <w:r>
        <w:rPr>
          <w:sz w:val="28"/>
          <w:szCs w:val="28"/>
        </w:rPr>
        <w:t>Seigla</w:t>
      </w:r>
      <w:proofErr w:type="spellEnd"/>
      <w:r>
        <w:rPr>
          <w:sz w:val="28"/>
          <w:szCs w:val="28"/>
        </w:rPr>
        <w:t xml:space="preserve">  YES</w:t>
      </w:r>
      <w:proofErr w:type="gramEnd"/>
      <w:r>
        <w:rPr>
          <w:sz w:val="28"/>
          <w:szCs w:val="28"/>
        </w:rPr>
        <w:t xml:space="preserve">,  Jessie Shaw  YES, Wanda Downey  YES, Shirley </w:t>
      </w:r>
      <w:proofErr w:type="spellStart"/>
      <w:r>
        <w:rPr>
          <w:sz w:val="28"/>
          <w:szCs w:val="28"/>
        </w:rPr>
        <w:t>Bixler</w:t>
      </w:r>
      <w:proofErr w:type="spellEnd"/>
      <w:r>
        <w:rPr>
          <w:sz w:val="28"/>
          <w:szCs w:val="28"/>
        </w:rPr>
        <w:t xml:space="preserve">  YES,  Mary Donna Elam  YES</w:t>
      </w:r>
    </w:p>
    <w:p w:rsidR="00720344" w:rsidRDefault="00720344" w:rsidP="00720344">
      <w:pPr>
        <w:tabs>
          <w:tab w:val="left" w:pos="1440"/>
        </w:tabs>
        <w:rPr>
          <w:sz w:val="28"/>
          <w:szCs w:val="28"/>
        </w:rPr>
      </w:pPr>
      <w:r>
        <w:rPr>
          <w:sz w:val="28"/>
          <w:szCs w:val="28"/>
        </w:rPr>
        <w:t xml:space="preserve">The request for a 2.7ft variance was approved for Allen </w:t>
      </w:r>
      <w:proofErr w:type="spellStart"/>
      <w:r>
        <w:rPr>
          <w:sz w:val="28"/>
          <w:szCs w:val="28"/>
        </w:rPr>
        <w:t>Aerni</w:t>
      </w:r>
      <w:proofErr w:type="spellEnd"/>
      <w:r>
        <w:rPr>
          <w:sz w:val="28"/>
          <w:szCs w:val="28"/>
        </w:rPr>
        <w:t xml:space="preserve"> at 5206 Crystal View Ct.  Loveland OH  45140.</w:t>
      </w:r>
    </w:p>
    <w:p w:rsidR="00720344" w:rsidRPr="00720344" w:rsidRDefault="00720344" w:rsidP="00720344">
      <w:pPr>
        <w:tabs>
          <w:tab w:val="left" w:pos="1440"/>
        </w:tabs>
        <w:rPr>
          <w:sz w:val="28"/>
          <w:szCs w:val="28"/>
        </w:rPr>
      </w:pPr>
    </w:p>
    <w:p w:rsidR="00B0700D" w:rsidRDefault="00B0700D" w:rsidP="00B0700D">
      <w:pPr>
        <w:tabs>
          <w:tab w:val="left" w:pos="1440"/>
        </w:tabs>
        <w:ind w:left="1440" w:hanging="1440"/>
        <w:rPr>
          <w:sz w:val="28"/>
          <w:szCs w:val="28"/>
        </w:rPr>
      </w:pPr>
    </w:p>
    <w:p w:rsidR="00B0700D" w:rsidRPr="00B0700D" w:rsidRDefault="00B0700D" w:rsidP="00B0700D">
      <w:pPr>
        <w:tabs>
          <w:tab w:val="left" w:pos="1440"/>
        </w:tabs>
        <w:ind w:left="1440" w:hanging="1440"/>
        <w:rPr>
          <w:sz w:val="28"/>
          <w:szCs w:val="28"/>
        </w:rPr>
      </w:pPr>
    </w:p>
    <w:sectPr w:rsidR="00B0700D" w:rsidRPr="00B0700D" w:rsidSect="008349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F01489"/>
    <w:multiLevelType w:val="hybridMultilevel"/>
    <w:tmpl w:val="2154D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700D"/>
    <w:rsid w:val="0000537E"/>
    <w:rsid w:val="003D62E0"/>
    <w:rsid w:val="003F0ADB"/>
    <w:rsid w:val="003F645A"/>
    <w:rsid w:val="00720344"/>
    <w:rsid w:val="007923FB"/>
    <w:rsid w:val="00793F8F"/>
    <w:rsid w:val="00834996"/>
    <w:rsid w:val="00B0700D"/>
    <w:rsid w:val="00E14837"/>
    <w:rsid w:val="00FF1C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9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00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dbritt</dc:creator>
  <cp:keywords/>
  <dc:description/>
  <cp:lastModifiedBy>dbritt</cp:lastModifiedBy>
  <cp:revision>1</cp:revision>
  <dcterms:created xsi:type="dcterms:W3CDTF">2009-08-13T16:29:00Z</dcterms:created>
  <dcterms:modified xsi:type="dcterms:W3CDTF">2009-08-13T16:46:00Z</dcterms:modified>
</cp:coreProperties>
</file>